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7A37F" w14:textId="70FC4B11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19D8B161" w14:textId="77777777">
      <w:pPr>
        <w:spacing w:after="0" w:line="360" w:lineRule="auto"/>
        <w:contextualSpacing/>
        <w:jc w:val="center"/>
      </w:pPr>
    </w:p>
    <w:p w14:paraId="557826B0" w14:textId="019CCE2E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ЗАЯВИТЕЛИ НА ПОТРЕБНОСТИ</w:t>
      </w:r>
    </w:p>
    <w:p w14:paraId="787E18C0" w14:textId="77777777">
      <w:pPr>
        <w:spacing w:after="0" w:line="360" w:lineRule="auto"/>
        <w:contextualSpacing/>
        <w:jc w:val="center"/>
        <w:rPr>
          <w:color w:val="002060"/>
        </w:rPr>
      </w:pPr>
    </w:p>
    <w:p w14:paraId="7D7108D2" w14:textId="77777777">
      <w:pPr>
        <w:spacing w:after="0" w:line="360" w:lineRule="auto"/>
        <w:contextualSpacing/>
        <w:jc w:val="both"/>
        <w:rPr>
          <w:color w:val="002060"/>
        </w:rPr>
      </w:pPr>
      <w:r>
        <w:rPr>
          <w:color w:val="002060"/>
        </w:rPr>
        <w:t>Основна роля: своевременно идентифициране, обосноваване и документиране на потребността и носене на отговорност за техническата и фактическата информация.</w:t>
      </w:r>
    </w:p>
    <w:p w14:paraId="2DE26BC5" w14:textId="7777777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Роля и действия по членове</w:t>
      </w:r>
    </w:p>
    <w:p w14:paraId="180F0790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17 – Заявява своевременно; описва предмета и необходимостта; посочва известна стойност и финансиране; представя спецификация/задание/КСС; информира за сходни потребности; приема изпълнението; уведомява при промяна.</w:t>
      </w:r>
    </w:p>
    <w:p w14:paraId="304831A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5 и чл. 7 – Потребността се заявява предварително; при проектни/целеви разходи уведомява компетентните участници преди избор, оферти, договор, покана или финансов ангажимент.</w:t>
      </w:r>
    </w:p>
    <w:p w14:paraId="37B62266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26 – Подаване на информация за очакваните потребности за годишното планиране в срока по заповедта по чл. 24.</w:t>
      </w:r>
    </w:p>
    <w:p w14:paraId="2C31B74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31 – Инициира промяна на план-графика при нова/отпаднала/изменена потребност и представя мотивирана информация и документи.</w:t>
      </w:r>
    </w:p>
    <w:p w14:paraId="1874427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34–35 – Инициира конкретната потребност с Приложение № 1 или друг утвърден входен документ; осигурява минималните реквизити и приложения.</w:t>
      </w:r>
    </w:p>
    <w:p w14:paraId="2FA4F586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38–40 – При първичната проверка допълва липсващата информация; при избор между оферти представя всички относими оферти и мотив за предложения избор.</w:t>
      </w:r>
    </w:p>
    <w:p w14:paraId="0F735F9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42 – Когато потребността не е в план-графика, мотивира причините.</w:t>
      </w:r>
    </w:p>
    <w:p w14:paraId="70FC7E2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45–47 – Предоставя актуална информация за прогнозната стойност и сходните/свързани потребности.</w:t>
      </w:r>
    </w:p>
    <w:p w14:paraId="5D54E4E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53 – Когато твърди изключение от ЗОП или специален ред, представя писмена мотивация и доказателства.</w:t>
      </w:r>
    </w:p>
    <w:p w14:paraId="79A7AD7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57 и чл. 60 – Осигурява изходните документи за стартиране и отговаря за техническата част – спецификация, количества, параметри, срокове за изпълнение, приемане и гаранционни условия.</w:t>
      </w:r>
    </w:p>
    <w:p w14:paraId="7A91A62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73 – При обжалване предоставя документи и информация в срок.</w:t>
      </w:r>
    </w:p>
    <w:p w14:paraId="538B3CA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75 и чл. 77 – Допълва документите при искане от предварителния контрол; предоставя документи при разширена проверка.</w:t>
      </w:r>
    </w:p>
    <w:p w14:paraId="3DF8E050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lastRenderedPageBreak/>
        <w:t>чл. 80 – Може да инициира изменение на договор с мотиви и необходимите приложения.</w:t>
      </w:r>
    </w:p>
    <w:p w14:paraId="7CC49701" w14:textId="7E0FC4AB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r>
        <w:t>чл. 82–84 – Приема изпълнението по компетентност; носи отговорност за удостоверените обстоятелства; комплектова техническата част на досието.</w:t>
      </w:r>
    </w:p>
    <w:p w14:paraId="27E6976C" w14:textId="77777777">
      <w:pPr>
        <w:spacing w:after="0" w:line="360" w:lineRule="auto"/>
        <w:contextualSpacing/>
        <w:jc w:val="both"/>
      </w:pPr>
    </w:p>
    <w:p w14:paraId="1CE1F6DA" w14:textId="229A223F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Срокове и критични моменти</w:t>
      </w:r>
    </w:p>
    <w:p w14:paraId="23C7DBD8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Годишно планиране – Подаване на данните в сроковете, определени със заповедта по чл. 24 – чл. 26.</w:t>
      </w:r>
    </w:p>
    <w:p w14:paraId="4549AE5B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Преди действия по възлагане – Потребността трябва да е заявена и съгласувана преди избор на изпълнител, оферти, договаряне, покана, външна фирма или финансов ангажимент – чл. 17 и чл. 34.</w:t>
      </w:r>
    </w:p>
    <w:p w14:paraId="36B2BE70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При промяна – Уведомява при промяна на потребността, стойността, срока или финансирането; когато промяната засяга план-графика, инициира актуализация – чл. 17 и чл. 31.</w:t>
      </w:r>
    </w:p>
    <w:p w14:paraId="02409F50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Допълване – До представяне на изисканата информация не се продължава към избор, покана, договор или разход – чл. 39.</w:t>
      </w:r>
    </w:p>
    <w:p w14:paraId="042C84A0" w14:textId="7EFB7732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Обжалване – Предоставя необходимите документи и информация в срока на конкретното производство – чл. 73.</w:t>
      </w:r>
    </w:p>
    <w:p w14:paraId="1018B5EC" w14:textId="77777777">
      <w:pPr>
        <w:pStyle w:val="ListParagraph"/>
        <w:spacing w:after="0" w:line="360" w:lineRule="auto"/>
        <w:jc w:val="both"/>
      </w:pPr>
    </w:p>
    <w:p w14:paraId="3AE8A952" w14:textId="7E844AFF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Граници на компетентността / важни ограничения</w:t>
      </w:r>
    </w:p>
    <w:p w14:paraId="4B76D7D0" w14:textId="5B5526B6">
      <w:pPr>
        <w:spacing w:after="0" w:line="360" w:lineRule="auto"/>
        <w:ind w:firstLine="426"/>
        <w:contextualSpacing/>
        <w:jc w:val="both"/>
      </w:pPr>
      <w:r>
        <w:t>Фактура, договор или друг документ за плащане, представен след вече извършен избор на изпълнител, не се счита за своевременно заявяване – чл. 17, ал. 4.</w:t>
      </w:r>
      <w:r>
        <w:t xml:space="preserve">  </w:t>
      </w:r>
      <w:r>
        <w:t>Не може самостоятелно да започва избор или договаряне преди вътрешното заявяване и съгласуване.</w:t>
      </w:r>
    </w:p>
    <w:p w14:paraId="6CBAFA18" w14:textId="77777777">
      <w:pPr>
        <w:spacing w:after="0" w:line="360" w:lineRule="auto"/>
        <w:ind w:firstLine="426"/>
        <w:contextualSpacing/>
        <w:jc w:val="both"/>
      </w:pPr>
    </w:p>
    <w:p w14:paraId="294213BE" w14:textId="32F50A3C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Практическо правило</w:t>
      </w:r>
    </w:p>
    <w:p w14:paraId="66FC16F2" w14:textId="77777777">
      <w:pPr>
        <w:spacing w:after="0" w:line="360" w:lineRule="auto"/>
        <w:ind w:firstLine="426"/>
        <w:contextualSpacing/>
        <w:jc w:val="both"/>
      </w:pPr>
      <w:r>
        <w:t>Действията се извършват в рамките на функционалната компетентност и се документират така, че да е налице проследима контролна следа. Когато в правилата няма фиксиран календарен срок, се прилага конкретният срок по ЗОП/ППЗОП, заповедта на Ректора, проектния документ или друг относим вътрешен акт.</w:t>
      </w:r>
    </w:p>
    <w:p w14:paraId="0598CDBF" w14:textId="77777777">
      <w:pPr>
        <w:spacing w:after="0" w:line="360" w:lineRule="auto"/>
        <w:contextualSpacing/>
        <w:jc w:val="both"/>
      </w:pPr>
    </w:p>
    <w:p w14:paraId="70092138" w14:textId="3A9F1FEE">
      <w:pPr>
        <w:spacing w:after="0" w:line="360" w:lineRule="auto"/>
        <w:contextualSpacing/>
        <w:jc w:val="both"/>
        <w:rPr>
          <w:i/>
          <w:iCs/>
        </w:rPr>
      </w:pPr>
      <w:r>
        <w:rPr>
          <w:i/>
          <w:iCs/>
        </w:rPr>
        <w:t>Забележка: Работната карта има помощен характер и не заменя Вътрешните правила, ЗОП, ППЗОП и другите приложими вътрешни актове.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D597E" w14:textId="77777777">
      <w:pPr>
        <w:spacing w:after="0" w:line="240" w:lineRule="auto"/>
      </w:pPr>
      <w:r>
        <w:separator/>
      </w:r>
    </w:p>
  </w:endnote>
  <w:endnote w:type="continuationSeparator" w:id="0">
    <w:p w14:paraId="0EF6A1D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34E8F" w14:textId="77777777">
    <w:pPr>
      <w:pStyle w:val="Footer"/>
      <w:jc w:val="center"/>
    </w:pPr>
    <w:r>
      <w:rPr>
        <w:sz w:val="17"/>
      </w:rPr>
      <w:t>Работна карта – функции и срокове по УЦОП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BE12" w14:textId="77777777">
      <w:pPr>
        <w:spacing w:after="0" w:line="240" w:lineRule="auto"/>
      </w:pPr>
      <w:r>
        <w:separator/>
      </w:r>
    </w:p>
  </w:footnote>
  <w:footnote w:type="continuationSeparator" w:id="0">
    <w:p w14:paraId="36D739A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AD13" w14:textId="1FDB17ED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1A01DD24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41BC9E8C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548D6094" wp14:editId="4EBEF7F0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7C1B4962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3DDB1D5A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e-mail</w:t>
          </w:r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14A12A7D" w14:textId="639D2D2E">
    <w:pPr>
      <w:pStyle w:val="Header"/>
    </w:pPr>
  </w:p>
  <w:p w14:paraId="05D7EE3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F8703A"/>
    <w:multiLevelType w:val="hybridMultilevel"/>
    <w:tmpl w:val="5B7CFB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E310A7"/>
    <w:multiLevelType w:val="hybridMultilevel"/>
    <w:tmpl w:val="FF726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6466F1"/>
    <w:multiLevelType w:val="hybridMultilevel"/>
    <w:tmpl w:val="FB2A1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17C6"/>
    <w:rsid w:val="004B4578"/>
    <w:rsid w:val="005B3EA5"/>
    <w:rsid w:val="00AA1D8D"/>
    <w:rsid w:val="00B47730"/>
    <w:rsid w:val="00BF2BD2"/>
    <w:rsid w:val="00CB0664"/>
    <w:rsid w:val="00D919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78C02"/>
  <w14:defaultImageDpi w14:val="300"/>
  <w15:docId w15:val="{7D46F997-872B-468D-BC3D-403ED89E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2013-12-23T23:15:00Z</dcterms:created>
  <dcterms:modified xsi:type="dcterms:W3CDTF">2026-08-24T13:44:00Z</dcterms:modified>
  <cp:category/>
</cp:coreProperties>
</file>