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91176" w14:textId="7C19F702">
      <w:pPr>
        <w:spacing w:after="0" w:line="360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РАБОТНА КАРТА ПО ВЪТРЕШНИТЕ ПРАВИЛА ЗА</w:t>
      </w:r>
    </w:p>
    <w:p w14:paraId="44A5BF59" w14:textId="319B8C10">
      <w:pPr>
        <w:spacing w:after="0" w:line="360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УПРАВЛЕНИЕ НА ЦИКЪЛА НА ОБЩЕСТВЕНИТЕ ПОРЪЧКИ</w:t>
      </w:r>
    </w:p>
    <w:p w14:paraId="741B838B" w14:textId="77777777">
      <w:pPr>
        <w:spacing w:after="0" w:line="360" w:lineRule="auto"/>
        <w:contextualSpacing/>
        <w:jc w:val="center"/>
        <w:rPr>
          <w:b/>
          <w:sz w:val="26"/>
        </w:rPr>
      </w:pPr>
    </w:p>
    <w:p w14:paraId="25AA920D" w14:textId="5E925D76">
      <w:pPr>
        <w:spacing w:after="0" w:line="360" w:lineRule="auto"/>
        <w:contextualSpacing/>
        <w:jc w:val="center"/>
        <w:rPr>
          <w:b/>
          <w:color w:val="002060"/>
          <w:sz w:val="26"/>
        </w:rPr>
      </w:pPr>
      <w:r>
        <w:rPr>
          <w:b/>
          <w:color w:val="002060"/>
          <w:sz w:val="26"/>
        </w:rPr>
        <w:t>РЕКТОР – ВЪЗЛОЖИТЕЛ</w:t>
      </w:r>
    </w:p>
    <w:p w14:paraId="30185C59" w14:textId="77777777">
      <w:pPr>
        <w:spacing w:after="0" w:line="360" w:lineRule="auto"/>
        <w:contextualSpacing/>
        <w:jc w:val="center"/>
      </w:pPr>
    </w:p>
    <w:p w14:paraId="51EF77A4" w14:textId="77777777">
      <w:pPr>
        <w:spacing w:after="0" w:line="360" w:lineRule="auto"/>
        <w:contextualSpacing/>
        <w:jc w:val="both"/>
        <w:rPr>
          <w:b/>
          <w:color w:val="002060"/>
        </w:rPr>
      </w:pPr>
      <w:r>
        <w:rPr>
          <w:b/>
          <w:color w:val="002060"/>
        </w:rPr>
        <w:t xml:space="preserve">Основна роля: </w:t>
      </w:r>
    </w:p>
    <w:p w14:paraId="1BB1B299" w14:textId="6BF28544">
      <w:pPr>
        <w:spacing w:after="0" w:line="360" w:lineRule="auto"/>
        <w:contextualSpacing/>
        <w:jc w:val="both"/>
        <w:rPr>
          <w:b/>
          <w:color w:val="002060"/>
          <w:u w:val="single"/>
        </w:rPr>
      </w:pPr>
      <w:proofErr w:type="spellStart"/>
      <w:r>
        <w:rPr>
          <w:b/>
          <w:color w:val="002060"/>
          <w:u w:val="single"/>
        </w:rPr>
        <w:t>възложител</w:t>
      </w:r>
      <w:proofErr w:type="spellEnd"/>
      <w:r>
        <w:rPr>
          <w:b/>
          <w:color w:val="002060"/>
          <w:u w:val="single"/>
        </w:rPr>
        <w:t xml:space="preserve"> по ЗОП и носител на крайната управленска преценка по </w:t>
      </w:r>
      <w:proofErr w:type="spellStart"/>
      <w:r>
        <w:rPr>
          <w:b/>
          <w:color w:val="002060"/>
          <w:u w:val="single"/>
        </w:rPr>
        <w:t>цикъла</w:t>
      </w:r>
      <w:proofErr w:type="spellEnd"/>
      <w:r>
        <w:rPr>
          <w:b/>
          <w:color w:val="002060"/>
          <w:u w:val="single"/>
        </w:rPr>
        <w:t xml:space="preserve"> на </w:t>
      </w:r>
      <w:proofErr w:type="spellStart"/>
      <w:r>
        <w:rPr>
          <w:b/>
          <w:color w:val="002060"/>
          <w:u w:val="single"/>
        </w:rPr>
        <w:t>обществените</w:t>
      </w:r>
      <w:proofErr w:type="spellEnd"/>
      <w:r>
        <w:rPr>
          <w:b/>
          <w:color w:val="002060"/>
          <w:u w:val="single"/>
        </w:rPr>
        <w:t xml:space="preserve"> </w:t>
      </w:r>
      <w:proofErr w:type="spellStart"/>
      <w:r>
        <w:rPr>
          <w:b/>
          <w:color w:val="002060"/>
          <w:u w:val="single"/>
        </w:rPr>
        <w:t>поръчки</w:t>
      </w:r>
      <w:proofErr w:type="spellEnd"/>
      <w:r>
        <w:rPr>
          <w:b/>
          <w:color w:val="002060"/>
          <w:u w:val="single"/>
        </w:rPr>
        <w:t>.</w:t>
      </w:r>
    </w:p>
    <w:p w14:paraId="2DE2AC23" w14:textId="77777777">
      <w:pPr>
        <w:spacing w:after="0" w:line="360" w:lineRule="auto"/>
        <w:contextualSpacing/>
        <w:rPr>
          <w:color w:val="002060"/>
        </w:rPr>
      </w:pPr>
    </w:p>
    <w:p w14:paraId="0B1D6210" w14:textId="2C9E3372">
      <w:pPr>
        <w:pStyle w:val="ListParagraph"/>
        <w:keepNext/>
        <w:numPr>
          <w:ilvl w:val="0"/>
          <w:numId w:val="11"/>
        </w:numPr>
        <w:spacing w:after="0" w:line="360" w:lineRule="auto"/>
        <w:rPr>
          <w:bCs/>
          <w:u w:val="single"/>
        </w:rPr>
      </w:pPr>
      <w:proofErr w:type="spellStart"/>
      <w:r>
        <w:rPr>
          <w:bCs/>
          <w:u w:val="single"/>
        </w:rPr>
        <w:t>Роля</w:t>
      </w:r>
      <w:proofErr w:type="spellEnd"/>
      <w:r>
        <w:rPr>
          <w:bCs/>
          <w:u w:val="single"/>
        </w:rPr>
        <w:t xml:space="preserve"> и </w:t>
      </w:r>
      <w:proofErr w:type="spellStart"/>
      <w:r>
        <w:rPr>
          <w:bCs/>
          <w:u w:val="single"/>
        </w:rPr>
        <w:t>действия</w:t>
      </w:r>
      <w:proofErr w:type="spellEnd"/>
      <w:r>
        <w:rPr>
          <w:bCs/>
          <w:u w:val="single"/>
        </w:rPr>
        <w:t xml:space="preserve"> по членове</w:t>
      </w:r>
    </w:p>
    <w:p w14:paraId="4283F50F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</w:t>
      </w:r>
      <w:r>
        <w:rPr>
          <w:b/>
        </w:rPr>
        <w:t>л</w:t>
      </w:r>
      <w:proofErr w:type="spellEnd"/>
      <w:r>
        <w:rPr>
          <w:b/>
        </w:rPr>
        <w:t xml:space="preserve">. 10 – </w:t>
      </w:r>
      <w:r>
        <w:t xml:space="preserve">Участник в процеса в качеството на възложител; действията и решенията му се </w:t>
      </w:r>
      <w:proofErr w:type="spellStart"/>
      <w:r>
        <w:t>документират</w:t>
      </w:r>
      <w:proofErr w:type="spellEnd"/>
      <w:r>
        <w:t xml:space="preserve"> по </w:t>
      </w:r>
      <w:proofErr w:type="spellStart"/>
      <w:r>
        <w:t>относимия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>.</w:t>
      </w:r>
    </w:p>
    <w:p w14:paraId="12C4BDF0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11 – </w:t>
      </w:r>
      <w:proofErr w:type="spellStart"/>
      <w:r>
        <w:t>Утвърждава</w:t>
      </w:r>
      <w:proofErr w:type="spellEnd"/>
      <w:r>
        <w:t xml:space="preserve"> </w:t>
      </w:r>
      <w:proofErr w:type="spellStart"/>
      <w:r>
        <w:t>вътрешните</w:t>
      </w:r>
      <w:proofErr w:type="spellEnd"/>
      <w:r>
        <w:t xml:space="preserve"> правила; утвърждава годишния индикативен план-график и вс</w:t>
      </w:r>
      <w:r>
        <w:t xml:space="preserve">яка негова версия; взема решения за откриване, прекратяване, избор на изпълнител и договори; назначава комисии; определя лица за предварителен контрол; разрешава външни </w:t>
      </w:r>
      <w:proofErr w:type="spellStart"/>
      <w:r>
        <w:t>експерти</w:t>
      </w:r>
      <w:proofErr w:type="spellEnd"/>
      <w:r>
        <w:t xml:space="preserve">;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упълномощава</w:t>
      </w:r>
      <w:proofErr w:type="spellEnd"/>
      <w:r>
        <w:t>.</w:t>
      </w:r>
    </w:p>
    <w:p w14:paraId="21534A33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24 – </w:t>
      </w:r>
      <w:proofErr w:type="spellStart"/>
      <w:r>
        <w:t>Ежегодно</w:t>
      </w:r>
      <w:proofErr w:type="spellEnd"/>
      <w:r>
        <w:t xml:space="preserve"> </w:t>
      </w:r>
      <w:proofErr w:type="spellStart"/>
      <w:r>
        <w:t>издава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стартиране на прогн</w:t>
      </w:r>
      <w:r>
        <w:t xml:space="preserve">озиране и подготовка на план-графика. Със заповедта определя вътрешните срокове, форматите, участниците, работната група и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актуализация</w:t>
      </w:r>
      <w:proofErr w:type="spellEnd"/>
      <w:r>
        <w:t>.</w:t>
      </w:r>
    </w:p>
    <w:p w14:paraId="13DC20F5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27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работна</w:t>
      </w:r>
      <w:proofErr w:type="spellEnd"/>
      <w:r>
        <w:t xml:space="preserve"> група за предварителната прогноза и </w:t>
      </w:r>
      <w:proofErr w:type="spellStart"/>
      <w:r>
        <w:t>проекта</w:t>
      </w:r>
      <w:proofErr w:type="spellEnd"/>
      <w:r>
        <w:t xml:space="preserve"> на </w:t>
      </w:r>
      <w:proofErr w:type="spellStart"/>
      <w:r>
        <w:t>план-график</w:t>
      </w:r>
      <w:proofErr w:type="spellEnd"/>
      <w:r>
        <w:t>.</w:t>
      </w:r>
    </w:p>
    <w:p w14:paraId="6488337C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>. 30–3</w:t>
      </w:r>
      <w:r>
        <w:rPr>
          <w:b/>
        </w:rPr>
        <w:t xml:space="preserve">1 – </w:t>
      </w:r>
      <w:proofErr w:type="spellStart"/>
      <w:r>
        <w:t>Утвърждава</w:t>
      </w:r>
      <w:proofErr w:type="spellEnd"/>
      <w:r>
        <w:t xml:space="preserve"> </w:t>
      </w:r>
      <w:proofErr w:type="spellStart"/>
      <w:r>
        <w:t>първоначалния</w:t>
      </w:r>
      <w:proofErr w:type="spellEnd"/>
      <w:r>
        <w:t xml:space="preserve"> план-график и всяка актуализирана </w:t>
      </w:r>
      <w:proofErr w:type="spellStart"/>
      <w:r>
        <w:t>версия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публикуването</w:t>
      </w:r>
      <w:proofErr w:type="spellEnd"/>
      <w:r>
        <w:t xml:space="preserve"> ѝ.</w:t>
      </w:r>
    </w:p>
    <w:p w14:paraId="32D9F07C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37 и чл. 43 – </w:t>
      </w:r>
      <w:r>
        <w:t xml:space="preserve">Разрешава/утвърждава конкретна потребност или възлагане, когато е </w:t>
      </w:r>
      <w:proofErr w:type="spellStart"/>
      <w:r>
        <w:t>необходимо</w:t>
      </w:r>
      <w:proofErr w:type="spellEnd"/>
      <w:r>
        <w:t xml:space="preserve"> </w:t>
      </w:r>
      <w:proofErr w:type="spellStart"/>
      <w:r>
        <w:t>решение</w:t>
      </w:r>
      <w:proofErr w:type="spellEnd"/>
      <w:r>
        <w:t xml:space="preserve"> на </w:t>
      </w:r>
      <w:proofErr w:type="spellStart"/>
      <w:r>
        <w:t>възложителя</w:t>
      </w:r>
      <w:proofErr w:type="spellEnd"/>
      <w:r>
        <w:t>.</w:t>
      </w:r>
    </w:p>
    <w:p w14:paraId="77B8DF62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58 –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издаде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 за подготовк</w:t>
      </w:r>
      <w:r>
        <w:t xml:space="preserve">а на документацията, с определени отговорни лица, координация и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подготовка</w:t>
      </w:r>
      <w:proofErr w:type="spellEnd"/>
      <w:r>
        <w:t>.</w:t>
      </w:r>
    </w:p>
    <w:p w14:paraId="665CE42B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65, </w:t>
      </w:r>
      <w:proofErr w:type="spellStart"/>
      <w:r>
        <w:rPr>
          <w:b/>
        </w:rPr>
        <w:t>ал</w:t>
      </w:r>
      <w:proofErr w:type="spellEnd"/>
      <w:r>
        <w:rPr>
          <w:b/>
        </w:rPr>
        <w:t xml:space="preserve">. 6 – </w:t>
      </w:r>
      <w:r>
        <w:t xml:space="preserve">Когато законът допуска получаване на заявления/оферти извън ЦАИС ЕОП, определя ред и отговорно лице за </w:t>
      </w:r>
      <w:proofErr w:type="spellStart"/>
      <w:r>
        <w:t>приемането</w:t>
      </w:r>
      <w:proofErr w:type="spellEnd"/>
      <w:r>
        <w:t xml:space="preserve"> и </w:t>
      </w:r>
      <w:proofErr w:type="spellStart"/>
      <w:r>
        <w:t>съхраняването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>.</w:t>
      </w:r>
    </w:p>
    <w:p w14:paraId="45C50E5F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66 – </w:t>
      </w:r>
      <w:r>
        <w:t>Утвърждава не</w:t>
      </w:r>
      <w:r>
        <w:t xml:space="preserve">обходимите документи и постановява решението/действието за стартиране на процедура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възлагане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обява</w:t>
      </w:r>
      <w:proofErr w:type="spellEnd"/>
      <w:r>
        <w:t>/</w:t>
      </w:r>
      <w:proofErr w:type="spellStart"/>
      <w:r>
        <w:t>покана</w:t>
      </w:r>
      <w:proofErr w:type="spellEnd"/>
      <w:r>
        <w:t>.</w:t>
      </w:r>
    </w:p>
    <w:p w14:paraId="2ACC7D8F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68 – </w:t>
      </w:r>
      <w:proofErr w:type="spellStart"/>
      <w:r>
        <w:t>Назначава</w:t>
      </w:r>
      <w:proofErr w:type="spellEnd"/>
      <w:r>
        <w:t xml:space="preserve"> </w:t>
      </w:r>
      <w:proofErr w:type="spellStart"/>
      <w:r>
        <w:t>комисия</w:t>
      </w:r>
      <w:proofErr w:type="spellEnd"/>
      <w:r>
        <w:t xml:space="preserve">;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състав</w:t>
      </w:r>
      <w:proofErr w:type="spellEnd"/>
      <w:r>
        <w:t xml:space="preserve">, задачи и </w:t>
      </w:r>
      <w:proofErr w:type="spellStart"/>
      <w:r>
        <w:t>срокове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>.</w:t>
      </w:r>
    </w:p>
    <w:p w14:paraId="163AEA0B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lastRenderedPageBreak/>
        <w:t>чл</w:t>
      </w:r>
      <w:proofErr w:type="spellEnd"/>
      <w:r>
        <w:rPr>
          <w:b/>
        </w:rPr>
        <w:t xml:space="preserve">. 72 – </w:t>
      </w:r>
      <w:proofErr w:type="spellStart"/>
      <w:r>
        <w:t>Постановява</w:t>
      </w:r>
      <w:proofErr w:type="spellEnd"/>
      <w:r>
        <w:t xml:space="preserve"> </w:t>
      </w:r>
      <w:proofErr w:type="spellStart"/>
      <w:r>
        <w:t>решението</w:t>
      </w:r>
      <w:proofErr w:type="spellEnd"/>
      <w:r>
        <w:t xml:space="preserve"> на възложителя въз основа на докумен</w:t>
      </w:r>
      <w:r>
        <w:t xml:space="preserve">тите по процедурата, </w:t>
      </w:r>
      <w:proofErr w:type="spellStart"/>
      <w:r>
        <w:t>комисията</w:t>
      </w:r>
      <w:proofErr w:type="spellEnd"/>
      <w:r>
        <w:t xml:space="preserve"> и </w:t>
      </w:r>
      <w:proofErr w:type="spellStart"/>
      <w:r>
        <w:t>приложимите</w:t>
      </w:r>
      <w:proofErr w:type="spellEnd"/>
      <w:r>
        <w:t xml:space="preserve"> </w:t>
      </w:r>
      <w:proofErr w:type="spellStart"/>
      <w:r>
        <w:t>становища</w:t>
      </w:r>
      <w:proofErr w:type="spellEnd"/>
      <w:r>
        <w:t>.</w:t>
      </w:r>
    </w:p>
    <w:p w14:paraId="76517038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78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специалния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по чл. 237б ЗОП получава доклада на комисията и доклада от предварителния контрол; утвърждава или връща доклада на </w:t>
      </w:r>
      <w:proofErr w:type="spellStart"/>
      <w:r>
        <w:t>комисията</w:t>
      </w:r>
      <w:proofErr w:type="spellEnd"/>
      <w:r>
        <w:t xml:space="preserve"> с </w:t>
      </w:r>
      <w:proofErr w:type="spellStart"/>
      <w:r>
        <w:t>писмени</w:t>
      </w:r>
      <w:proofErr w:type="spellEnd"/>
      <w:r>
        <w:t xml:space="preserve"> </w:t>
      </w:r>
      <w:proofErr w:type="spellStart"/>
      <w:r>
        <w:t>указания</w:t>
      </w:r>
      <w:proofErr w:type="spellEnd"/>
      <w:r>
        <w:t>.</w:t>
      </w:r>
    </w:p>
    <w:p w14:paraId="6FBE49E6" w14:textId="77777777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79 – </w:t>
      </w:r>
      <w:proofErr w:type="spellStart"/>
      <w:r>
        <w:t>Подписва</w:t>
      </w:r>
      <w:proofErr w:type="spellEnd"/>
      <w:r>
        <w:t xml:space="preserve"> </w:t>
      </w:r>
      <w:proofErr w:type="spellStart"/>
      <w:r>
        <w:t>догов</w:t>
      </w:r>
      <w:r>
        <w:t>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възлага</w:t>
      </w:r>
      <w:proofErr w:type="spellEnd"/>
      <w:r>
        <w:t xml:space="preserve"> подписването на оправомощено лице след приключване на </w:t>
      </w:r>
      <w:proofErr w:type="spellStart"/>
      <w:r>
        <w:t>приложимите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и </w:t>
      </w:r>
      <w:proofErr w:type="spellStart"/>
      <w:r>
        <w:t>срокове</w:t>
      </w:r>
      <w:proofErr w:type="spellEnd"/>
      <w:r>
        <w:t>.</w:t>
      </w:r>
    </w:p>
    <w:p w14:paraId="59F6960E" w14:textId="7225F509">
      <w:pPr>
        <w:pStyle w:val="ListBullet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 xml:space="preserve">. 82–83 – </w:t>
      </w:r>
      <w:r>
        <w:t xml:space="preserve">При несъответствия по изпълнението и при изключителни случаи по плащане извършва управленска преценка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законосъобразното</w:t>
      </w:r>
      <w:proofErr w:type="spellEnd"/>
      <w:r>
        <w:t>.</w:t>
      </w:r>
    </w:p>
    <w:p w14:paraId="35365D78" w14:textId="77777777">
      <w:pPr>
        <w:pStyle w:val="ListBullet"/>
        <w:numPr>
          <w:ilvl w:val="0"/>
          <w:numId w:val="0"/>
        </w:numPr>
        <w:spacing w:after="0" w:line="360" w:lineRule="auto"/>
        <w:ind w:left="720"/>
        <w:jc w:val="both"/>
      </w:pPr>
    </w:p>
    <w:p w14:paraId="63E78827" w14:textId="77777777">
      <w:pPr>
        <w:keepNext/>
        <w:spacing w:after="0" w:line="360" w:lineRule="auto"/>
        <w:ind w:firstLine="284"/>
        <w:contextualSpacing/>
        <w:jc w:val="both"/>
        <w:rPr>
          <w:bCs/>
          <w:u w:val="single"/>
        </w:rPr>
      </w:pPr>
      <w:r>
        <w:rPr>
          <w:bCs/>
        </w:rPr>
        <w:t>2.</w:t>
      </w:r>
      <w:r>
        <w:rPr>
          <w:bCs/>
          <w:u w:val="single"/>
        </w:rPr>
        <w:t xml:space="preserve"> Сроко</w:t>
      </w:r>
      <w:r>
        <w:rPr>
          <w:bCs/>
          <w:u w:val="single"/>
        </w:rPr>
        <w:t>ве и критични моменти</w:t>
      </w:r>
    </w:p>
    <w:p w14:paraId="061A7F37" w14:textId="77777777">
      <w:pPr>
        <w:pStyle w:val="ListBullet"/>
        <w:numPr>
          <w:ilvl w:val="0"/>
          <w:numId w:val="12"/>
        </w:numPr>
        <w:spacing w:after="0" w:line="360" w:lineRule="auto"/>
        <w:jc w:val="both"/>
      </w:pPr>
      <w:r>
        <w:rPr>
          <w:b/>
        </w:rPr>
        <w:t xml:space="preserve">Годишно планиране – </w:t>
      </w:r>
      <w:r>
        <w:t xml:space="preserve">Заповедта по чл. 24 се издава ежегодно достатъчно рано, за да бъде план-графикът изготвен, утвърден и публикуван до 30 ноември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следващата</w:t>
      </w:r>
      <w:proofErr w:type="spellEnd"/>
      <w:r>
        <w:t xml:space="preserve"> </w:t>
      </w:r>
      <w:proofErr w:type="spellStart"/>
      <w:r>
        <w:t>календарна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>.</w:t>
      </w:r>
    </w:p>
    <w:p w14:paraId="7B7CDCC5" w14:textId="77777777">
      <w:pPr>
        <w:pStyle w:val="ListBullet"/>
        <w:numPr>
          <w:ilvl w:val="0"/>
          <w:numId w:val="12"/>
        </w:numPr>
        <w:spacing w:after="0" w:line="360" w:lineRule="auto"/>
        <w:jc w:val="both"/>
      </w:pPr>
      <w:proofErr w:type="spellStart"/>
      <w:r>
        <w:rPr>
          <w:b/>
        </w:rPr>
        <w:t>План-график</w:t>
      </w:r>
      <w:proofErr w:type="spellEnd"/>
      <w:r>
        <w:rPr>
          <w:b/>
        </w:rPr>
        <w:t xml:space="preserve"> – </w:t>
      </w:r>
      <w:proofErr w:type="spellStart"/>
      <w:r>
        <w:t>Първоначалният</w:t>
      </w:r>
      <w:proofErr w:type="spellEnd"/>
      <w:r>
        <w:t xml:space="preserve"> </w:t>
      </w:r>
      <w:proofErr w:type="spellStart"/>
      <w:r>
        <w:t>план-график</w:t>
      </w:r>
      <w:proofErr w:type="spellEnd"/>
      <w:r>
        <w:t xml:space="preserve"> се утвърждава</w:t>
      </w:r>
      <w:r>
        <w:t xml:space="preserve"> преди публикуването му; всяка последваща версия също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утвърждава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публикуване</w:t>
      </w:r>
      <w:proofErr w:type="spellEnd"/>
      <w:r>
        <w:t>.</w:t>
      </w:r>
    </w:p>
    <w:p w14:paraId="3D17324F" w14:textId="77777777">
      <w:pPr>
        <w:pStyle w:val="ListBullet"/>
        <w:numPr>
          <w:ilvl w:val="0"/>
          <w:numId w:val="12"/>
        </w:numPr>
        <w:spacing w:after="0" w:line="360" w:lineRule="auto"/>
        <w:jc w:val="both"/>
      </w:pPr>
      <w:proofErr w:type="spellStart"/>
      <w:r>
        <w:rPr>
          <w:b/>
        </w:rPr>
        <w:t>Комисии</w:t>
      </w:r>
      <w:proofErr w:type="spellEnd"/>
      <w:r>
        <w:rPr>
          <w:b/>
        </w:rPr>
        <w:t xml:space="preserve"> – </w:t>
      </w:r>
      <w:proofErr w:type="spellStart"/>
      <w:r>
        <w:t>Срокът</w:t>
      </w:r>
      <w:proofErr w:type="spellEnd"/>
      <w:r>
        <w:t xml:space="preserve"> на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в заповедта за назначаването ѝ – чл. 68.</w:t>
      </w:r>
    </w:p>
    <w:p w14:paraId="33D11B91" w14:textId="77777777">
      <w:pPr>
        <w:pStyle w:val="ListBullet"/>
        <w:numPr>
          <w:ilvl w:val="0"/>
          <w:numId w:val="12"/>
        </w:numPr>
        <w:spacing w:after="0" w:line="360" w:lineRule="auto"/>
        <w:jc w:val="both"/>
      </w:pPr>
      <w:proofErr w:type="spellStart"/>
      <w:r>
        <w:rPr>
          <w:b/>
        </w:rPr>
        <w:t>Специален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контрол</w:t>
      </w:r>
      <w:proofErr w:type="spellEnd"/>
      <w:r>
        <w:rPr>
          <w:b/>
        </w:rPr>
        <w:t xml:space="preserve"> по </w:t>
      </w:r>
      <w:proofErr w:type="spellStart"/>
      <w:r>
        <w:rPr>
          <w:b/>
        </w:rPr>
        <w:t>чл</w:t>
      </w:r>
      <w:proofErr w:type="spellEnd"/>
      <w:r>
        <w:rPr>
          <w:b/>
        </w:rPr>
        <w:t xml:space="preserve">. 237б – </w:t>
      </w:r>
      <w:r>
        <w:t>В 15-дневен срок от получаването на доклада на комисия</w:t>
      </w:r>
      <w:r>
        <w:t>та възложителят го утвърждава или връща с писмени указания – чл. 78, ал. 9.</w:t>
      </w:r>
    </w:p>
    <w:p w14:paraId="6B789169" w14:textId="781B48FD">
      <w:pPr>
        <w:pStyle w:val="ListBullet"/>
        <w:numPr>
          <w:ilvl w:val="0"/>
          <w:numId w:val="12"/>
        </w:numPr>
        <w:spacing w:after="0" w:line="360" w:lineRule="auto"/>
        <w:jc w:val="both"/>
      </w:pPr>
      <w:proofErr w:type="spellStart"/>
      <w:r>
        <w:rPr>
          <w:b/>
        </w:rPr>
        <w:t>Договор</w:t>
      </w:r>
      <w:proofErr w:type="spellEnd"/>
      <w:r>
        <w:rPr>
          <w:b/>
        </w:rPr>
        <w:t xml:space="preserve"> – </w:t>
      </w:r>
      <w:proofErr w:type="spellStart"/>
      <w:r>
        <w:t>Подписва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след приключване на избора, изтичане на приложимите срокове и представяне на изискуемите документи – чл. 79.</w:t>
      </w:r>
    </w:p>
    <w:p w14:paraId="49CBFE68" w14:textId="77777777">
      <w:pPr>
        <w:pStyle w:val="ListBullet"/>
        <w:numPr>
          <w:ilvl w:val="0"/>
          <w:numId w:val="0"/>
        </w:numPr>
        <w:spacing w:after="0" w:line="360" w:lineRule="auto"/>
        <w:ind w:left="720"/>
        <w:jc w:val="both"/>
      </w:pPr>
    </w:p>
    <w:p w14:paraId="0B6F4F46" w14:textId="3ABA6566">
      <w:pPr>
        <w:keepNext/>
        <w:spacing w:after="0" w:line="360" w:lineRule="auto"/>
        <w:ind w:firstLine="284"/>
        <w:contextualSpacing/>
        <w:jc w:val="both"/>
        <w:rPr>
          <w:bCs/>
          <w:u w:val="single"/>
        </w:rPr>
      </w:pPr>
      <w:r>
        <w:rPr>
          <w:bCs/>
        </w:rPr>
        <w:t xml:space="preserve">3. </w:t>
      </w:r>
      <w:proofErr w:type="spellStart"/>
      <w:r>
        <w:rPr>
          <w:bCs/>
          <w:u w:val="single"/>
        </w:rPr>
        <w:t>Граници</w:t>
      </w:r>
      <w:proofErr w:type="spellEnd"/>
      <w:r>
        <w:rPr>
          <w:bCs/>
          <w:u w:val="single"/>
        </w:rPr>
        <w:t xml:space="preserve"> на </w:t>
      </w:r>
      <w:proofErr w:type="spellStart"/>
      <w:r>
        <w:rPr>
          <w:bCs/>
          <w:u w:val="single"/>
        </w:rPr>
        <w:t>компетентността</w:t>
      </w:r>
      <w:proofErr w:type="spellEnd"/>
      <w:r>
        <w:rPr>
          <w:bCs/>
          <w:u w:val="single"/>
        </w:rPr>
        <w:t>/</w:t>
      </w:r>
      <w:proofErr w:type="spellStart"/>
      <w:r>
        <w:rPr>
          <w:bCs/>
          <w:u w:val="single"/>
        </w:rPr>
        <w:t>важни</w:t>
      </w:r>
      <w:proofErr w:type="spellEnd"/>
      <w:r>
        <w:rPr>
          <w:bCs/>
          <w:u w:val="single"/>
        </w:rPr>
        <w:t xml:space="preserve"> </w:t>
      </w:r>
      <w:proofErr w:type="spellStart"/>
      <w:r>
        <w:rPr>
          <w:bCs/>
          <w:u w:val="single"/>
        </w:rPr>
        <w:t>ограничения</w:t>
      </w:r>
      <w:proofErr w:type="spellEnd"/>
    </w:p>
    <w:p w14:paraId="4840FA16" w14:textId="714DEFDA">
      <w:pPr>
        <w:pStyle w:val="ListBullet"/>
        <w:numPr>
          <w:ilvl w:val="0"/>
          <w:numId w:val="13"/>
        </w:numPr>
        <w:spacing w:after="0" w:line="360" w:lineRule="auto"/>
        <w:ind w:left="709" w:hanging="425"/>
        <w:jc w:val="both"/>
      </w:pPr>
      <w:r>
        <w:t xml:space="preserve">Не заменя функциите на юрисконсулта, финансовото звено, заявителя, комисията или предварителния контрол; взема решението на възложителя въз основа на </w:t>
      </w:r>
      <w:proofErr w:type="spellStart"/>
      <w:r>
        <w:t>тяхната</w:t>
      </w:r>
      <w:proofErr w:type="spellEnd"/>
      <w:r>
        <w:t xml:space="preserve"> </w:t>
      </w:r>
      <w:proofErr w:type="spellStart"/>
      <w:r>
        <w:t>компетентна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>.</w:t>
      </w:r>
    </w:p>
    <w:p w14:paraId="55F77E06" w14:textId="77777777">
      <w:pPr>
        <w:pStyle w:val="ListBullet"/>
        <w:numPr>
          <w:ilvl w:val="0"/>
          <w:numId w:val="0"/>
        </w:numPr>
        <w:spacing w:after="0" w:line="360" w:lineRule="auto"/>
        <w:ind w:left="709"/>
        <w:jc w:val="both"/>
      </w:pPr>
    </w:p>
    <w:p w14:paraId="7FC6E6AB" w14:textId="77777777">
      <w:pPr>
        <w:keepNext/>
        <w:spacing w:after="0" w:line="360" w:lineRule="auto"/>
        <w:ind w:firstLine="284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4. </w:t>
      </w:r>
      <w:r>
        <w:rPr>
          <w:bCs/>
          <w:color w:val="000000" w:themeColor="text1"/>
          <w:u w:val="single"/>
        </w:rPr>
        <w:t>Практическо правило</w:t>
      </w:r>
    </w:p>
    <w:p w14:paraId="0C8C35AB" w14:textId="20E3A65D">
      <w:pPr>
        <w:spacing w:after="0" w:line="360" w:lineRule="auto"/>
        <w:ind w:firstLine="284"/>
        <w:contextualSpacing/>
        <w:jc w:val="both"/>
      </w:pPr>
      <w:r>
        <w:rPr>
          <w:iCs/>
          <w:sz w:val="21"/>
          <w:lang w:val="bg-BG"/>
        </w:rPr>
        <w:t xml:space="preserve"> </w:t>
      </w:r>
      <w:proofErr w:type="spellStart"/>
      <w:r>
        <w:rPr>
          <w:iCs/>
          <w:sz w:val="21"/>
        </w:rPr>
        <w:t>Действията</w:t>
      </w:r>
      <w:proofErr w:type="spellEnd"/>
      <w:r>
        <w:rPr>
          <w:iCs/>
          <w:sz w:val="21"/>
        </w:rPr>
        <w:t xml:space="preserve"> </w:t>
      </w:r>
      <w:proofErr w:type="spellStart"/>
      <w:r>
        <w:rPr>
          <w:iCs/>
          <w:sz w:val="21"/>
        </w:rPr>
        <w:t>се</w:t>
      </w:r>
      <w:proofErr w:type="spellEnd"/>
      <w:r>
        <w:rPr>
          <w:iCs/>
          <w:sz w:val="21"/>
        </w:rPr>
        <w:t xml:space="preserve"> </w:t>
      </w:r>
      <w:proofErr w:type="spellStart"/>
      <w:r>
        <w:rPr>
          <w:iCs/>
          <w:sz w:val="21"/>
        </w:rPr>
        <w:t>извършват</w:t>
      </w:r>
      <w:proofErr w:type="spellEnd"/>
      <w:r>
        <w:rPr>
          <w:iCs/>
          <w:sz w:val="21"/>
        </w:rPr>
        <w:t xml:space="preserve"> в рамките на функци</w:t>
      </w:r>
      <w:r>
        <w:rPr>
          <w:iCs/>
          <w:sz w:val="21"/>
        </w:rPr>
        <w:t>оналната компетентност и се документират така, че да е налице проследима контролна следа. Когато в правилата няма фиксиран календарен срок, се прилага конкретният срок по ЗОП/ППЗОП, заповедта на Ректора, проектния документ или друг относим вътрешен акт</w:t>
      </w:r>
      <w:r>
        <w:rPr>
          <w:i/>
          <w:sz w:val="21"/>
        </w:rPr>
        <w:t>.</w:t>
      </w:r>
    </w:p>
    <w:p w14:paraId="3237C740" w14:textId="77777777">
      <w:pPr>
        <w:spacing w:after="0" w:line="360" w:lineRule="auto"/>
        <w:contextualSpacing/>
        <w:jc w:val="both"/>
        <w:rPr>
          <w:i/>
          <w:sz w:val="19"/>
        </w:rPr>
      </w:pPr>
    </w:p>
    <w:p w14:paraId="79F3AB39" w14:textId="12AA8187">
      <w:pPr>
        <w:spacing w:after="0" w:line="360" w:lineRule="auto"/>
        <w:contextualSpacing/>
        <w:jc w:val="both"/>
      </w:pPr>
      <w:proofErr w:type="spellStart"/>
      <w:r>
        <w:rPr>
          <w:i/>
          <w:sz w:val="19"/>
        </w:rPr>
        <w:t>Забележка</w:t>
      </w:r>
      <w:proofErr w:type="spellEnd"/>
      <w:r>
        <w:rPr>
          <w:i/>
          <w:sz w:val="19"/>
        </w:rPr>
        <w:t xml:space="preserve">: </w:t>
      </w:r>
      <w:proofErr w:type="spellStart"/>
      <w:r>
        <w:rPr>
          <w:i/>
          <w:sz w:val="19"/>
        </w:rPr>
        <w:t>Работната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карта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има</w:t>
      </w:r>
      <w:proofErr w:type="spellEnd"/>
      <w:r>
        <w:rPr>
          <w:i/>
          <w:sz w:val="19"/>
        </w:rPr>
        <w:t xml:space="preserve"> помощен характер и не заменя Вътрешните правила, ЗОП, ППЗОП и другите приложими вътрешни актове.</w:t>
      </w:r>
    </w:p>
    <w:sectPr>
      <w:headerReference w:type="default" r:id="rId8"/>
      <w:footerReference w:type="default" r:id="rId9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7A6BB" w14:textId="77777777">
      <w:pPr>
        <w:spacing w:after="0" w:line="240" w:lineRule="auto"/>
      </w:pPr>
      <w:r>
        <w:separator/>
      </w:r>
    </w:p>
  </w:endnote>
  <w:endnote w:type="continuationSeparator" w:id="0">
    <w:p w14:paraId="20BF2FB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05958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527931" w14:textId="2D54D4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E6F2F6" w14:textId="4245015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1D29A" w14:textId="77777777">
      <w:pPr>
        <w:spacing w:after="0" w:line="240" w:lineRule="auto"/>
      </w:pPr>
      <w:r>
        <w:separator/>
      </w:r>
    </w:p>
  </w:footnote>
  <w:footnote w:type="continuationSeparator" w:id="0">
    <w:p w14:paraId="23508F8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1F906" w14:textId="183DC61C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12408A29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1FC9011B" w14:textId="1A051426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175B2C8E" wp14:editId="3FC23F59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7D3C2127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06D0C5CA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</w:t>
          </w:r>
          <w:proofErr w:type="spellStart"/>
          <w:r>
            <w:rPr>
              <w:lang w:val="bg-BG"/>
            </w:rPr>
            <w:t>mail</w:t>
          </w:r>
          <w:proofErr w:type="spellEnd"/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3D160119" w14:textId="78C427F4">
    <w:pPr>
      <w:pStyle w:val="Header"/>
    </w:pPr>
  </w:p>
  <w:p w14:paraId="44B404C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AC5696"/>
    <w:multiLevelType w:val="hybridMultilevel"/>
    <w:tmpl w:val="0DB2C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0361B"/>
    <w:multiLevelType w:val="hybridMultilevel"/>
    <w:tmpl w:val="B078846E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1" w15:restartNumberingAfterBreak="0">
    <w:nsid w:val="4C274381"/>
    <w:multiLevelType w:val="hybridMultilevel"/>
    <w:tmpl w:val="18FCC29C"/>
    <w:lvl w:ilvl="0" w:tplc="78FA6B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CC6E38"/>
    <w:multiLevelType w:val="hybridMultilevel"/>
    <w:tmpl w:val="308A9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5CBF"/>
    <w:rsid w:val="0015074B"/>
    <w:rsid w:val="0029639D"/>
    <w:rsid w:val="00326F90"/>
    <w:rsid w:val="009E0928"/>
    <w:rsid w:val="00AA1D8D"/>
    <w:rsid w:val="00B47730"/>
    <w:rsid w:val="00CB0664"/>
    <w:rsid w:val="00DE38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BB1B13"/>
  <w14:defaultImageDpi w14:val="300"/>
  <w15:docId w15:val="{1E4CFF19-2F13-473B-B438-4DAE2757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2013-12-23T23:15:00Z</dcterms:created>
  <dcterms:modified xsi:type="dcterms:W3CDTF">2026-08-24T12:00:00Z</dcterms:modified>
  <cp:category/>
</cp:coreProperties>
</file>