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58CD5" w14:textId="210635A7">
      <w:pPr>
        <w:spacing w:after="0" w:line="360" w:lineRule="auto"/>
        <w:contextualSpacing/>
        <w:jc w:val="center"/>
      </w:pPr>
      <w:r>
        <w:t>РАБОТНА КАРТА ПО ВЪТРЕШНИТЕ ПРАВИЛА ЗА УПРАВЛЕНИЕ НА ЦИКЪЛА НА ОБЩЕСТВЕНИТЕ ПОРЪЧКИ</w:t>
      </w:r>
    </w:p>
    <w:p w14:paraId="0645088F" w14:textId="77777777">
      <w:pPr>
        <w:spacing w:after="0" w:line="360" w:lineRule="auto"/>
        <w:contextualSpacing/>
        <w:jc w:val="center"/>
      </w:pPr>
    </w:p>
    <w:p w14:paraId="2708734A" w14:textId="762A8DB1">
      <w:pPr>
        <w:spacing w:after="0" w:line="360" w:lineRule="auto"/>
        <w:contextualSpacing/>
        <w:jc w:val="center"/>
        <w:rPr>
          <w:color w:val="002060"/>
        </w:rPr>
      </w:pPr>
      <w:r>
        <w:rPr>
          <w:color w:val="002060"/>
        </w:rPr>
        <w:t>ПОМОЩНИК-РЕКТОР – КООРДИНАТОР НА ПРОЦЕСА</w:t>
      </w:r>
    </w:p>
    <w:p w14:paraId="0A3BA24C" w14:textId="77777777">
      <w:pPr>
        <w:spacing w:after="0" w:line="360" w:lineRule="auto"/>
        <w:contextualSpacing/>
        <w:jc w:val="both"/>
        <w:rPr>
          <w:color w:val="002060"/>
        </w:rPr>
      </w:pPr>
      <w:r>
        <w:rPr>
          <w:color w:val="002060"/>
        </w:rPr>
        <w:t xml:space="preserve">Основна роля: </w:t>
      </w:r>
    </w:p>
    <w:p w14:paraId="08D1E9EB" w14:textId="2CCE01DF">
      <w:pPr>
        <w:spacing w:after="0" w:line="360" w:lineRule="auto"/>
        <w:contextualSpacing/>
        <w:jc w:val="both"/>
      </w:pPr>
      <w:r>
        <w:rPr>
          <w:color w:val="002060"/>
        </w:rPr>
        <w:t>обща организационна координация на прогнозиране, планиране, подготовка, комуникация и проследяване на обществените поръчки</w:t>
      </w:r>
      <w:r>
        <w:t>.</w:t>
      </w:r>
    </w:p>
    <w:p w14:paraId="5953F8B3" w14:textId="77777777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Роля и действия по членове</w:t>
      </w:r>
    </w:p>
    <w:p w14:paraId="3EBC8FFD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12 – </w:t>
      </w:r>
      <w:r>
        <w:t>Организира събирането на потребности; координира предварителната прогноза и годишния план-график; следи актуализациите; организи</w:t>
      </w:r>
      <w:r>
        <w:t>ра вътрешната комуникация; предлага стартиране на поръчка, отговорни лица и външни експерти; координира окомплектоването.</w:t>
      </w:r>
    </w:p>
    <w:p w14:paraId="4B2E7150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24 и чл. 27 – </w:t>
      </w:r>
      <w:r>
        <w:t>Участва в годишното планиране и координира събирането, обобщаването и анализа на информацията.</w:t>
      </w:r>
    </w:p>
    <w:p w14:paraId="7896E263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31 – </w:t>
      </w:r>
      <w:r>
        <w:t>Координира р</w:t>
      </w:r>
      <w:r>
        <w:t>азглеждането на всяка промяна в план-графика и организира подготовката на актуализирана версия.</w:t>
      </w:r>
    </w:p>
    <w:p w14:paraId="5A49939F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42 – </w:t>
      </w:r>
      <w:r>
        <w:t>Координира преценката за изменение/допълнение на план-графика при непланирана, но необходима потребност.</w:t>
      </w:r>
    </w:p>
    <w:p w14:paraId="6916ABA9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57 – </w:t>
      </w:r>
      <w:r>
        <w:t>Координира докладната до Ректора за с</w:t>
      </w:r>
      <w:r>
        <w:t>тартиране на конкретно възлагане въз основа на документите и извършените проверки.</w:t>
      </w:r>
    </w:p>
    <w:p w14:paraId="1C80438C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65 – </w:t>
      </w:r>
      <w:r>
        <w:t>Получава уведомяване при технически проблем или невъзможност за действие в ЦАИС ЕОП.</w:t>
      </w:r>
    </w:p>
    <w:p w14:paraId="4590EC38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67 – </w:t>
      </w:r>
      <w:r>
        <w:t xml:space="preserve">При натрупване на сходни разходи под праговете участва с юрисконсулта </w:t>
      </w:r>
      <w:r>
        <w:t>в допълнителната преценка за приложимия ред.</w:t>
      </w:r>
    </w:p>
    <w:p w14:paraId="6D98FB62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73 – </w:t>
      </w:r>
      <w:r>
        <w:t>При обжалване предоставя необходимите документи, справки и информация в рамките на компетентността си.</w:t>
      </w:r>
    </w:p>
    <w:p w14:paraId="29783673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86 – </w:t>
      </w:r>
      <w:r>
        <w:t>Осъществява обща координация по окомплектоване и предаване на документацията за съхранение</w:t>
      </w:r>
      <w:r>
        <w:t>.</w:t>
      </w:r>
    </w:p>
    <w:p w14:paraId="2B8A64CD" w14:textId="77777777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88 – </w:t>
      </w:r>
      <w:r>
        <w:t>Координира въвеждащото и поддържащото обучение на участниците.</w:t>
      </w:r>
    </w:p>
    <w:p w14:paraId="7870BE77" w14:textId="600F5B4D">
      <w:pPr>
        <w:pStyle w:val="ListParagraph"/>
        <w:numPr>
          <w:ilvl w:val="0"/>
          <w:numId w:val="15"/>
        </w:numPr>
        <w:spacing w:after="0" w:line="360" w:lineRule="auto"/>
        <w:jc w:val="both"/>
      </w:pPr>
      <w:r>
        <w:t xml:space="preserve">чл. 89 – </w:t>
      </w:r>
      <w:r>
        <w:t>Може да организира периодичен преглед на прилагането на правилата и да предложи тяхната актуализация.</w:t>
      </w:r>
    </w:p>
    <w:p w14:paraId="482E8385" w14:textId="77777777">
      <w:pPr>
        <w:pStyle w:val="ListParagraph"/>
        <w:spacing w:after="0" w:line="360" w:lineRule="auto"/>
        <w:ind w:left="1080"/>
        <w:jc w:val="both"/>
      </w:pPr>
    </w:p>
    <w:p w14:paraId="1267E535" w14:textId="06C47D7D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lastRenderedPageBreak/>
        <w:t>Срокове и критични моменти</w:t>
      </w:r>
    </w:p>
    <w:p w14:paraId="6BE6E8B2" w14:textId="77777777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t xml:space="preserve">План-график – </w:t>
      </w:r>
      <w:r>
        <w:t>Организира процеса така, че</w:t>
      </w:r>
      <w:r>
        <w:t xml:space="preserve"> публикуването да бъде до 30 ноември за следващата календарна година – чл. 12 и чл. 30.</w:t>
      </w:r>
    </w:p>
    <w:p w14:paraId="0A1D67C4" w14:textId="77777777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t xml:space="preserve">Актуализация – </w:t>
      </w:r>
      <w:r>
        <w:t>Следи текущо за промени и осигурява своевременно предоставяне на новата версия за утвърждаване и публикуване – чл. 12; промяната се обработва без неоправ</w:t>
      </w:r>
      <w:r>
        <w:t>дано забавяне – чл. 31.</w:t>
      </w:r>
    </w:p>
    <w:p w14:paraId="5E27FE1B" w14:textId="2751D9CD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t xml:space="preserve">Обжалване – </w:t>
      </w:r>
      <w:r>
        <w:t>Документи и информация се предоставят в срока, определен за конкретното производство – чл. 73.</w:t>
      </w:r>
    </w:p>
    <w:p w14:paraId="3F4C2BB9" w14:textId="77777777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t xml:space="preserve">Обучение – </w:t>
      </w:r>
      <w:r>
        <w:t>Въвеждащо – при първо включване в процеса; поддържащо – периодично и при възникнала необходимост – чл. 88.</w:t>
      </w:r>
    </w:p>
    <w:p w14:paraId="683630D8" w14:textId="2B4DB913">
      <w:pPr>
        <w:pStyle w:val="ListParagraph"/>
        <w:numPr>
          <w:ilvl w:val="0"/>
          <w:numId w:val="16"/>
        </w:numPr>
        <w:spacing w:after="0" w:line="360" w:lineRule="auto"/>
        <w:jc w:val="both"/>
      </w:pPr>
      <w:r>
        <w:t>Преглед</w:t>
      </w:r>
      <w:r>
        <w:t xml:space="preserve"> – </w:t>
      </w:r>
      <w:r>
        <w:t>Периодично, в края на всяка година или при необходимост – чл. 89.</w:t>
      </w:r>
    </w:p>
    <w:p w14:paraId="5FC1D502" w14:textId="77777777">
      <w:pPr>
        <w:pStyle w:val="ListParagraph"/>
        <w:spacing w:after="0" w:line="360" w:lineRule="auto"/>
        <w:jc w:val="both"/>
      </w:pPr>
    </w:p>
    <w:p w14:paraId="01FCCA1B" w14:textId="6316DF9E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Граници на компетентността / важни ограничения</w:t>
      </w:r>
    </w:p>
    <w:p w14:paraId="59E2160B" w14:textId="5EC8D7FA">
      <w:pPr>
        <w:spacing w:after="0" w:line="360" w:lineRule="auto"/>
        <w:ind w:firstLine="426"/>
        <w:contextualSpacing/>
        <w:jc w:val="both"/>
      </w:pPr>
      <w:r>
        <w:t>Координира, но не замества Ректора като възложител, юрисконсулта, финансово-счетоводното звено, заявителя, ръководителя на проекта, предв</w:t>
      </w:r>
      <w:r>
        <w:t>арителния контрол или комисията – чл. 12, ал. 3–4.</w:t>
      </w:r>
    </w:p>
    <w:p w14:paraId="5A1273E6" w14:textId="77777777">
      <w:pPr>
        <w:spacing w:after="0" w:line="360" w:lineRule="auto"/>
        <w:contextualSpacing/>
        <w:jc w:val="both"/>
      </w:pPr>
    </w:p>
    <w:p w14:paraId="51749298" w14:textId="0FBAD435">
      <w:pPr>
        <w:pStyle w:val="ListParagraph"/>
        <w:numPr>
          <w:ilvl w:val="0"/>
          <w:numId w:val="14"/>
        </w:numPr>
        <w:spacing w:after="0" w:line="360" w:lineRule="auto"/>
        <w:jc w:val="both"/>
        <w:rPr>
          <w:u w:val="single"/>
        </w:rPr>
      </w:pPr>
      <w:r>
        <w:rPr>
          <w:u w:val="single"/>
        </w:rPr>
        <w:t>Практическо правило</w:t>
      </w:r>
    </w:p>
    <w:p w14:paraId="00289F99" w14:textId="77777777">
      <w:pPr>
        <w:spacing w:after="0" w:line="360" w:lineRule="auto"/>
        <w:ind w:firstLine="426"/>
        <w:contextualSpacing/>
        <w:jc w:val="both"/>
      </w:pPr>
      <w:r>
        <w:t xml:space="preserve">Действията се извършват в рамките на функционалната компетентност и се документират така, че да е налице проследима контролна следа. Когато в правилата няма фиксиран </w:t>
      </w:r>
      <w:r>
        <w:t>календарен срок, се прилага конкретният срок по ЗОП/ППЗОП, заповедта на Ректора, проектния документ или друг относим вътрешен акт.</w:t>
      </w:r>
    </w:p>
    <w:p w14:paraId="21DF4C4D" w14:textId="77777777">
      <w:pPr>
        <w:spacing w:after="0" w:line="360" w:lineRule="auto"/>
        <w:contextualSpacing/>
        <w:jc w:val="both"/>
      </w:pPr>
    </w:p>
    <w:p w14:paraId="317F63E9" w14:textId="23B996EA">
      <w:pPr>
        <w:spacing w:after="0" w:line="360" w:lineRule="auto"/>
        <w:contextualSpacing/>
        <w:jc w:val="both"/>
        <w:rPr>
          <w:i/>
          <w:iCs/>
        </w:rPr>
      </w:pPr>
      <w:r>
        <w:rPr>
          <w:i/>
          <w:iCs/>
        </w:rPr>
        <w:t>Забележка: Работната карта има помощен характер и не заменя Вътрешните правила, ЗОП, ППЗОП и другите приложими вътрешни актов</w:t>
      </w:r>
      <w:r>
        <w:rPr>
          <w:i/>
          <w:iCs/>
        </w:rPr>
        <w:t>е.</w:t>
      </w:r>
    </w:p>
    <w:sectPr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79" w:right="907" w:bottom="822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FFDEA9" w14:textId="77777777">
      <w:pPr>
        <w:spacing w:after="0" w:line="240" w:lineRule="auto"/>
      </w:pPr>
      <w:r>
        <w:separator/>
      </w:r>
    </w:p>
  </w:endnote>
  <w:endnote w:type="continuationSeparator" w:id="0">
    <w:p w14:paraId="20F976A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43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4059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13E1FB" w14:textId="449E0BB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37F0D" w14:textId="6F7949DF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2C200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62F56" w14:textId="77777777">
      <w:pPr>
        <w:spacing w:after="0" w:line="240" w:lineRule="auto"/>
      </w:pPr>
      <w:r>
        <w:separator/>
      </w:r>
    </w:p>
  </w:footnote>
  <w:footnote w:type="continuationSeparator" w:id="0">
    <w:p w14:paraId="2FAA94C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7DB8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32EBF" w14:textId="11F8436E">
    <w:pPr>
      <w:pStyle w:val="Header"/>
    </w:pPr>
  </w:p>
  <w:tbl>
    <w:tblPr>
      <w:tblW w:w="0" w:type="auto"/>
      <w:jc w:val="center"/>
      <w:tblBorders>
        <w:bottom w:val="single" w:sz="24" w:space="0" w:color="auto"/>
      </w:tblBorders>
      <w:tblLayout w:type="fixed"/>
      <w:tblLook w:val="0000" w:firstRow="0" w:lastRow="0" w:firstColumn="0" w:lastColumn="0" w:noHBand="0" w:noVBand="0"/>
    </w:tblPr>
    <w:tblGrid>
      <w:gridCol w:w="1056"/>
      <w:gridCol w:w="8550"/>
    </w:tblGrid>
    <w:tr w14:paraId="36DE80B6" w14:textId="77777777">
      <w:trPr>
        <w:cantSplit/>
        <w:jc w:val="center"/>
      </w:trPr>
      <w:tc>
        <w:tcPr>
          <w:tcW w:w="1056" w:type="dxa"/>
          <w:tcBorders>
            <w:bottom w:val="single" w:sz="24" w:space="0" w:color="auto"/>
          </w:tcBorders>
        </w:tcPr>
        <w:p w14:paraId="69A54447" w14:textId="77777777">
          <w:pPr>
            <w:autoSpaceDE w:val="0"/>
            <w:autoSpaceDN w:val="0"/>
            <w:spacing w:after="0" w:line="240" w:lineRule="auto"/>
            <w:jc w:val="center"/>
            <w:rPr>
              <w:rFonts w:ascii="Arial" w:hAnsi="Arial" w:cs="Arial"/>
              <w:sz w:val="28"/>
              <w:szCs w:val="28"/>
              <w:lang w:val="bg-BG"/>
            </w:rPr>
          </w:pPr>
          <w:r>
            <w:rPr>
              <w:noProof/>
              <w:sz w:val="24"/>
              <w:szCs w:val="24"/>
              <w:lang w:val="bg-BG" w:eastAsia="bg-BG"/>
            </w:rPr>
            <w:drawing>
              <wp:inline distT="0" distB="0" distL="0" distR="0" wp14:anchorId="10FC99BE" wp14:editId="45A2B669">
                <wp:extent cx="431800" cy="285750"/>
                <wp:effectExtent l="0" t="0" r="635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18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50" w:type="dxa"/>
          <w:tcBorders>
            <w:bottom w:val="single" w:sz="24" w:space="0" w:color="auto"/>
          </w:tcBorders>
          <w:vAlign w:val="center"/>
        </w:tcPr>
        <w:p w14:paraId="04395168" w14:textId="77777777">
          <w:pPr>
            <w:autoSpaceDE w:val="0"/>
            <w:autoSpaceDN w:val="0"/>
            <w:spacing w:after="0" w:line="240" w:lineRule="auto"/>
            <w:jc w:val="center"/>
            <w:rPr>
              <w:b/>
              <w:bCs/>
              <w:sz w:val="28"/>
              <w:szCs w:val="28"/>
              <w:lang w:val="bg-BG"/>
            </w:rPr>
          </w:pPr>
          <w:r>
            <w:rPr>
              <w:b/>
              <w:bCs/>
              <w:sz w:val="28"/>
              <w:szCs w:val="28"/>
              <w:lang w:val="bg-BG"/>
            </w:rPr>
            <w:t>Бургаски държавен университет „Проф. д-р Асен Златаров“</w:t>
          </w:r>
        </w:p>
        <w:p w14:paraId="25F4AEB1" w14:textId="77777777">
          <w:pPr>
            <w:autoSpaceDE w:val="0"/>
            <w:autoSpaceDN w:val="0"/>
            <w:spacing w:after="0" w:line="240" w:lineRule="auto"/>
            <w:jc w:val="center"/>
            <w:rPr>
              <w:rFonts w:ascii="Courier New" w:hAnsi="Courier New" w:cs="Courier New"/>
              <w:lang w:val="bg-BG"/>
            </w:rPr>
          </w:pPr>
          <w:r>
            <w:rPr>
              <w:lang w:val="ru-RU"/>
            </w:rPr>
            <w:t xml:space="preserve">Бургас 8010, бул. </w:t>
          </w:r>
          <w:r>
            <w:rPr>
              <w:lang w:val="ru-RU"/>
            </w:rPr>
            <w:t>„</w:t>
          </w:r>
          <w:r>
            <w:rPr>
              <w:lang w:val="ru-RU"/>
            </w:rPr>
            <w:t>Проф.</w:t>
          </w:r>
          <w:r>
            <w:rPr>
              <w:lang w:val="ru-RU"/>
            </w:rPr>
            <w:t xml:space="preserve"> </w:t>
          </w:r>
          <w:r>
            <w:rPr>
              <w:lang w:val="ru-RU"/>
            </w:rPr>
            <w:t>Якимов</w:t>
          </w:r>
          <w:r>
            <w:rPr>
              <w:lang w:val="ru-RU"/>
            </w:rPr>
            <w:t>“</w:t>
          </w:r>
          <w:r>
            <w:rPr>
              <w:lang w:val="ru-RU"/>
            </w:rPr>
            <w:t xml:space="preserve"> №1, тел. </w:t>
          </w:r>
          <w:r>
            <w:rPr>
              <w:lang w:val="bg-BG"/>
            </w:rPr>
            <w:t>(056)86 00 41, e-mail</w:t>
          </w:r>
          <w:r>
            <w:rPr>
              <w:lang w:val="bg-BG"/>
            </w:rPr>
            <w:t>:</w:t>
          </w:r>
          <w:r>
            <w:rPr>
              <w:lang w:val="bg-BG"/>
            </w:rPr>
            <w:t xml:space="preserve"> </w:t>
          </w:r>
          <w:hyperlink r:id="rId2" w:history="1">
            <w:r>
              <w:rPr>
                <w:color w:val="000000"/>
                <w:u w:val="single"/>
                <w:lang w:val="bg-BG"/>
              </w:rPr>
              <w:t>rector@btu.bg</w:t>
            </w:r>
          </w:hyperlink>
        </w:p>
      </w:tc>
    </w:tr>
  </w:tbl>
  <w:p w14:paraId="3DC87EF3" w14:textId="23DA8A4C">
    <w:pPr>
      <w:pStyle w:val="Header"/>
    </w:pPr>
  </w:p>
  <w:p w14:paraId="58F2820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8E4C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4E5A58"/>
    <w:multiLevelType w:val="hybridMultilevel"/>
    <w:tmpl w:val="1AD6F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F2620"/>
    <w:multiLevelType w:val="hybridMultilevel"/>
    <w:tmpl w:val="83F6FC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6D0089D"/>
    <w:multiLevelType w:val="hybridMultilevel"/>
    <w:tmpl w:val="50F417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771596"/>
    <w:multiLevelType w:val="hybridMultilevel"/>
    <w:tmpl w:val="B2CCE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E337E"/>
    <w:multiLevelType w:val="hybridMultilevel"/>
    <w:tmpl w:val="7EF034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305318"/>
    <w:multiLevelType w:val="hybridMultilevel"/>
    <w:tmpl w:val="298AE1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992734E"/>
    <w:multiLevelType w:val="hybridMultilevel"/>
    <w:tmpl w:val="0116088A"/>
    <w:lvl w:ilvl="0" w:tplc="229061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3"/>
  </w:num>
  <w:num w:numId="11">
    <w:abstractNumId w:val="14"/>
  </w:num>
  <w:num w:numId="12">
    <w:abstractNumId w:val="15"/>
  </w:num>
  <w:num w:numId="13">
    <w:abstractNumId w:val="11"/>
  </w:num>
  <w:num w:numId="14">
    <w:abstractNumId w:val="9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57308"/>
    <w:rsid w:val="0097103F"/>
    <w:rsid w:val="00A708F1"/>
    <w:rsid w:val="00AA1D8D"/>
    <w:rsid w:val="00B47730"/>
    <w:rsid w:val="00B54DF8"/>
    <w:rsid w:val="00CB0664"/>
    <w:rsid w:val="00D704E5"/>
    <w:rsid w:val="00DF7A3E"/>
    <w:rsid w:val="00E9592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5637A"/>
  <w14:defaultImageDpi w14:val="300"/>
  <w15:docId w15:val="{D01AEAEC-83D3-4275-A432-16EA67472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rector@btu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2013-12-23T23:15:00Z</dcterms:created>
  <dcterms:modified xsi:type="dcterms:W3CDTF">2026-08-24T12:21:00Z</dcterms:modified>
  <cp:category/>
</cp:coreProperties>
</file>